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FAE56" w14:textId="77777777" w:rsidR="00A27F25" w:rsidRDefault="00000000">
      <w:pPr>
        <w:widowControl/>
        <w:spacing w:line="360" w:lineRule="auto"/>
        <w:jc w:val="center"/>
        <w:rPr>
          <w:rFonts w:ascii="黑体" w:eastAsia="黑体" w:hAnsi="黑体" w:cs="黑体" w:hint="eastAsia"/>
          <w:b/>
          <w:bCs/>
          <w:spacing w:val="7"/>
          <w:kern w:val="0"/>
          <w:sz w:val="44"/>
          <w:szCs w:val="44"/>
          <w:lang w:bidi="he-IL"/>
        </w:rPr>
      </w:pPr>
      <w:r>
        <w:rPr>
          <w:rFonts w:ascii="黑体" w:eastAsia="黑体" w:hAnsi="黑体" w:cs="黑体" w:hint="eastAsia"/>
          <w:b/>
          <w:bCs/>
          <w:spacing w:val="7"/>
          <w:kern w:val="0"/>
          <w:sz w:val="44"/>
          <w:szCs w:val="44"/>
          <w:lang w:bidi="he-IL"/>
        </w:rPr>
        <w:t>20</w:t>
      </w:r>
      <w:r>
        <w:rPr>
          <w:rFonts w:ascii="黑体" w:eastAsia="黑体" w:hAnsi="黑体" w:cs="黑体"/>
          <w:b/>
          <w:bCs/>
          <w:spacing w:val="7"/>
          <w:kern w:val="0"/>
          <w:sz w:val="44"/>
          <w:szCs w:val="44"/>
          <w:lang w:bidi="he-IL"/>
        </w:rPr>
        <w:t>2</w:t>
      </w:r>
      <w:r>
        <w:rPr>
          <w:rFonts w:ascii="黑体" w:eastAsia="黑体" w:hAnsi="黑体" w:cs="黑体" w:hint="eastAsia"/>
          <w:b/>
          <w:bCs/>
          <w:spacing w:val="7"/>
          <w:kern w:val="0"/>
          <w:sz w:val="44"/>
          <w:szCs w:val="44"/>
          <w:lang w:bidi="he-IL"/>
        </w:rPr>
        <w:t>4学年温州市中职学业水平测试</w:t>
      </w:r>
    </w:p>
    <w:p w14:paraId="50D36386" w14:textId="77777777" w:rsidR="00A27F25" w:rsidRDefault="00000000">
      <w:pPr>
        <w:jc w:val="center"/>
        <w:rPr>
          <w:rFonts w:ascii="黑体" w:eastAsia="黑体" w:hAnsi="黑体" w:cs="黑体" w:hint="eastAsia"/>
          <w:b/>
          <w:bCs/>
          <w:spacing w:val="7"/>
          <w:kern w:val="0"/>
          <w:sz w:val="44"/>
          <w:szCs w:val="44"/>
          <w:lang w:bidi="he-IL"/>
        </w:rPr>
      </w:pPr>
      <w:r>
        <w:rPr>
          <w:rFonts w:ascii="黑体" w:eastAsia="黑体" w:hAnsi="黑体" w:cs="黑体" w:hint="eastAsia"/>
          <w:b/>
          <w:bCs/>
          <w:spacing w:val="7"/>
          <w:kern w:val="0"/>
          <w:sz w:val="44"/>
          <w:szCs w:val="44"/>
          <w:lang w:bidi="he-IL"/>
        </w:rPr>
        <w:t>工商管理类考试大纲</w:t>
      </w:r>
    </w:p>
    <w:p w14:paraId="6E6D528F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黑体" w:hint="eastAsia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一、考试性质与对象</w:t>
      </w:r>
    </w:p>
    <w:p w14:paraId="54DFC6B5" w14:textId="77777777" w:rsidR="00A27F25" w:rsidRDefault="00000000">
      <w:pPr>
        <w:adjustRightInd w:val="0"/>
        <w:snapToGrid w:val="0"/>
        <w:spacing w:line="360" w:lineRule="auto"/>
        <w:ind w:firstLineChars="200" w:firstLine="588"/>
        <w:rPr>
          <w:rFonts w:ascii="宋体" w:hAnsi="宋体" w:cs="宋体" w:hint="eastAsia"/>
          <w:spacing w:val="7"/>
          <w:kern w:val="0"/>
          <w:sz w:val="28"/>
          <w:szCs w:val="28"/>
        </w:rPr>
      </w:pPr>
      <w:r>
        <w:rPr>
          <w:rFonts w:ascii="宋体" w:hAnsi="宋体" w:cs="宋体" w:hint="eastAsia"/>
          <w:spacing w:val="7"/>
          <w:kern w:val="0"/>
          <w:sz w:val="28"/>
          <w:szCs w:val="28"/>
        </w:rPr>
        <w:t>本考试的性质是测试温州市中等职业学校工商管理类专业核心课程《市场调研》和《营销策划与执行》是否达到教学目标（按教学计划开课，按教学大纲和教材进行教学），它是检查、评价教学质量的一种手段，也是考核中职学校工商管理类专业学生学习水平的重要手段。</w:t>
      </w:r>
    </w:p>
    <w:p w14:paraId="7A46F249" w14:textId="77777777" w:rsidR="00A27F25" w:rsidRDefault="00000000">
      <w:pPr>
        <w:adjustRightInd w:val="0"/>
        <w:snapToGrid w:val="0"/>
        <w:spacing w:line="360" w:lineRule="auto"/>
        <w:ind w:firstLineChars="200" w:firstLine="588"/>
        <w:rPr>
          <w:rFonts w:ascii="宋体" w:hAnsi="宋体" w:cs="宋体" w:hint="eastAsia"/>
          <w:spacing w:val="7"/>
          <w:kern w:val="0"/>
          <w:sz w:val="28"/>
          <w:szCs w:val="28"/>
        </w:rPr>
      </w:pPr>
      <w:r>
        <w:rPr>
          <w:rFonts w:ascii="宋体" w:hAnsi="宋体" w:cs="宋体" w:hint="eastAsia"/>
          <w:spacing w:val="7"/>
          <w:kern w:val="0"/>
          <w:sz w:val="28"/>
          <w:szCs w:val="28"/>
        </w:rPr>
        <w:t>考试对象为工商管理类2024级学生。</w:t>
      </w:r>
    </w:p>
    <w:p w14:paraId="5E36AFD1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黑体" w:hint="eastAsia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二、考试形式与时间</w:t>
      </w:r>
    </w:p>
    <w:p w14:paraId="5A3898A9" w14:textId="77777777" w:rsidR="00A27F25" w:rsidRDefault="00000000">
      <w:pPr>
        <w:adjustRightInd w:val="0"/>
        <w:snapToGrid w:val="0"/>
        <w:spacing w:line="360" w:lineRule="auto"/>
        <w:ind w:firstLineChars="200" w:firstLine="588"/>
        <w:rPr>
          <w:rFonts w:ascii="宋体" w:hAnsi="宋体" w:cs="宋体" w:hint="eastAsia"/>
          <w:spacing w:val="7"/>
          <w:kern w:val="0"/>
          <w:sz w:val="28"/>
          <w:szCs w:val="28"/>
        </w:rPr>
      </w:pPr>
      <w:r>
        <w:rPr>
          <w:rFonts w:ascii="宋体" w:hAnsi="宋体" w:cs="宋体" w:hint="eastAsia"/>
          <w:spacing w:val="7"/>
          <w:kern w:val="0"/>
          <w:sz w:val="28"/>
          <w:szCs w:val="28"/>
        </w:rPr>
        <w:t>1.考试形式：闭卷、笔试形式。</w:t>
      </w:r>
    </w:p>
    <w:p w14:paraId="3E1BD85C" w14:textId="77777777" w:rsidR="00A27F25" w:rsidRDefault="00000000">
      <w:pPr>
        <w:adjustRightInd w:val="0"/>
        <w:snapToGrid w:val="0"/>
        <w:spacing w:line="360" w:lineRule="auto"/>
        <w:ind w:firstLineChars="200" w:firstLine="588"/>
        <w:rPr>
          <w:rFonts w:ascii="宋体" w:hAnsi="宋体" w:cs="宋体" w:hint="eastAsia"/>
          <w:spacing w:val="7"/>
          <w:kern w:val="0"/>
          <w:sz w:val="28"/>
          <w:szCs w:val="28"/>
        </w:rPr>
      </w:pPr>
      <w:r>
        <w:rPr>
          <w:rFonts w:ascii="宋体" w:hAnsi="宋体" w:cs="宋体" w:hint="eastAsia"/>
          <w:spacing w:val="7"/>
          <w:kern w:val="0"/>
          <w:sz w:val="28"/>
          <w:szCs w:val="28"/>
        </w:rPr>
        <w:t>2.考试时间：90分钟。</w:t>
      </w:r>
    </w:p>
    <w:p w14:paraId="10F0392C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黑体" w:hint="eastAsia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三、命题原则与试卷结构</w:t>
      </w:r>
    </w:p>
    <w:p w14:paraId="219E7027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黑体" w:hint="eastAsia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（一）命题原则</w:t>
      </w:r>
    </w:p>
    <w:p w14:paraId="4663BF23" w14:textId="77777777" w:rsidR="00A27F25" w:rsidRDefault="00000000">
      <w:pPr>
        <w:adjustRightInd w:val="0"/>
        <w:snapToGrid w:val="0"/>
        <w:spacing w:line="360" w:lineRule="auto"/>
        <w:ind w:firstLineChars="200" w:firstLine="588"/>
        <w:rPr>
          <w:rFonts w:ascii="宋体" w:hAnsi="宋体" w:cs="宋体" w:hint="eastAsia"/>
          <w:spacing w:val="7"/>
          <w:kern w:val="0"/>
          <w:sz w:val="28"/>
          <w:szCs w:val="28"/>
        </w:rPr>
      </w:pPr>
      <w:r>
        <w:rPr>
          <w:rFonts w:ascii="宋体" w:hAnsi="宋体" w:cs="宋体" w:hint="eastAsia"/>
          <w:spacing w:val="7"/>
          <w:kern w:val="0"/>
          <w:sz w:val="28"/>
          <w:szCs w:val="28"/>
        </w:rPr>
        <w:t>以浙江省中等职业学校工商管理类专业课程改革成果教材《市场调研》《营销策划与执行》为蓝本，并参考浙江省单独考试招生商业类职业技能理论知识考试大纲，确定《市场调研》和《营销策划与执行》学业水平测试考试命题内容。</w:t>
      </w:r>
    </w:p>
    <w:p w14:paraId="3C2088D6" w14:textId="77777777" w:rsidR="00A27F25" w:rsidRDefault="00000000">
      <w:pPr>
        <w:adjustRightInd w:val="0"/>
        <w:snapToGrid w:val="0"/>
        <w:spacing w:line="360" w:lineRule="auto"/>
        <w:ind w:firstLineChars="200" w:firstLine="588"/>
        <w:rPr>
          <w:rFonts w:ascii="宋体" w:hAnsi="宋体" w:cs="宋体" w:hint="eastAsia"/>
          <w:spacing w:val="7"/>
          <w:kern w:val="0"/>
          <w:sz w:val="28"/>
          <w:szCs w:val="28"/>
        </w:rPr>
      </w:pPr>
      <w:r>
        <w:rPr>
          <w:rFonts w:ascii="宋体" w:hAnsi="宋体" w:cs="宋体" w:hint="eastAsia"/>
          <w:spacing w:val="7"/>
          <w:kern w:val="0"/>
          <w:sz w:val="28"/>
          <w:szCs w:val="28"/>
        </w:rPr>
        <w:t>命题坚持基础性与实践性相结合、知识性与素养性相统一的原则，着重考查学生对市场营销基本理论、基本方法的掌握情况，引导学生树立正确的市场观念，提高职业适应能力和综合素质。</w:t>
      </w:r>
    </w:p>
    <w:p w14:paraId="3616188D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黑体" w:hint="eastAsia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（二）试卷组成及配分比值</w:t>
      </w:r>
    </w:p>
    <w:p w14:paraId="40479E2E" w14:textId="77777777" w:rsidR="00A27F25" w:rsidRDefault="00000000">
      <w:pPr>
        <w:adjustRightInd w:val="0"/>
        <w:snapToGrid w:val="0"/>
        <w:spacing w:line="360" w:lineRule="auto"/>
        <w:ind w:firstLineChars="200" w:firstLine="588"/>
        <w:rPr>
          <w:rFonts w:ascii="宋体" w:hAnsi="宋体" w:cs="宋体" w:hint="eastAsia"/>
          <w:spacing w:val="7"/>
          <w:kern w:val="0"/>
          <w:sz w:val="28"/>
          <w:szCs w:val="28"/>
        </w:rPr>
      </w:pPr>
      <w:r>
        <w:rPr>
          <w:rFonts w:ascii="宋体" w:hAnsi="宋体" w:cs="宋体" w:hint="eastAsia"/>
          <w:spacing w:val="7"/>
          <w:kern w:val="0"/>
          <w:sz w:val="28"/>
          <w:szCs w:val="28"/>
        </w:rPr>
        <w:t>试卷由《市场调研》和《营销策划与执行》两门专业课程内容共同组成。其中，《市场调研》占40%，《营销策划与执行》占60%，且主要知识点的覆盖面在95%左右。试题难易适中，配分比</w:t>
      </w:r>
      <w:r>
        <w:rPr>
          <w:rFonts w:ascii="宋体" w:hAnsi="宋体" w:cs="宋体" w:hint="eastAsia"/>
          <w:spacing w:val="7"/>
          <w:kern w:val="0"/>
          <w:sz w:val="28"/>
          <w:szCs w:val="28"/>
        </w:rPr>
        <w:lastRenderedPageBreak/>
        <w:t>例为基础题约80%，中等难度题约12%，较难题约8%。</w:t>
      </w:r>
    </w:p>
    <w:p w14:paraId="4E04A56D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黑体" w:hint="eastAsia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（三）考试题型及分值分配</w:t>
      </w:r>
    </w:p>
    <w:p w14:paraId="76DAE418" w14:textId="77777777" w:rsidR="00A27F25" w:rsidRDefault="00000000">
      <w:pPr>
        <w:adjustRightInd w:val="0"/>
        <w:snapToGrid w:val="0"/>
        <w:spacing w:line="360" w:lineRule="auto"/>
        <w:ind w:firstLineChars="200" w:firstLine="588"/>
        <w:rPr>
          <w:rFonts w:ascii="宋体" w:hAnsi="宋体" w:cs="宋体" w:hint="eastAsia"/>
          <w:spacing w:val="7"/>
          <w:kern w:val="0"/>
          <w:sz w:val="28"/>
          <w:szCs w:val="28"/>
        </w:rPr>
      </w:pPr>
      <w:r>
        <w:rPr>
          <w:rFonts w:ascii="宋体" w:hAnsi="宋体" w:cs="宋体" w:hint="eastAsia"/>
          <w:spacing w:val="7"/>
          <w:kern w:val="0"/>
          <w:sz w:val="28"/>
          <w:szCs w:val="28"/>
        </w:rPr>
        <w:t>全卷共五大题，满分为100分。考试题型及分值分配如下：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A27F25" w14:paraId="4222DECD" w14:textId="77777777">
        <w:trPr>
          <w:trHeight w:val="114"/>
        </w:trPr>
        <w:tc>
          <w:tcPr>
            <w:tcW w:w="2130" w:type="dxa"/>
            <w:vMerge w:val="restart"/>
            <w:vAlign w:val="center"/>
          </w:tcPr>
          <w:p w14:paraId="088D4453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题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型</w:t>
            </w:r>
          </w:p>
        </w:tc>
        <w:tc>
          <w:tcPr>
            <w:tcW w:w="2130" w:type="dxa"/>
            <w:vMerge w:val="restart"/>
            <w:vAlign w:val="center"/>
          </w:tcPr>
          <w:p w14:paraId="0C97D598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题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量</w:t>
            </w:r>
          </w:p>
        </w:tc>
        <w:tc>
          <w:tcPr>
            <w:tcW w:w="4262" w:type="dxa"/>
            <w:gridSpan w:val="2"/>
          </w:tcPr>
          <w:p w14:paraId="1EF2CB6E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值</w:t>
            </w:r>
          </w:p>
        </w:tc>
      </w:tr>
      <w:tr w:rsidR="00A27F25" w14:paraId="3297AE78" w14:textId="77777777">
        <w:trPr>
          <w:trHeight w:val="90"/>
        </w:trPr>
        <w:tc>
          <w:tcPr>
            <w:tcW w:w="2130" w:type="dxa"/>
            <w:vMerge/>
          </w:tcPr>
          <w:p w14:paraId="786510DC" w14:textId="77777777" w:rsidR="00A27F25" w:rsidRDefault="00A27F2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130" w:type="dxa"/>
            <w:vMerge/>
          </w:tcPr>
          <w:p w14:paraId="3F3DBA64" w14:textId="77777777" w:rsidR="00A27F25" w:rsidRDefault="00A27F2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14:paraId="064FECDD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每小题分数</w:t>
            </w:r>
          </w:p>
        </w:tc>
        <w:tc>
          <w:tcPr>
            <w:tcW w:w="2131" w:type="dxa"/>
          </w:tcPr>
          <w:p w14:paraId="4A8A7989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小计</w:t>
            </w:r>
          </w:p>
        </w:tc>
      </w:tr>
      <w:tr w:rsidR="00A27F25" w14:paraId="4BDAB311" w14:textId="77777777">
        <w:trPr>
          <w:trHeight w:val="90"/>
        </w:trPr>
        <w:tc>
          <w:tcPr>
            <w:tcW w:w="2130" w:type="dxa"/>
          </w:tcPr>
          <w:p w14:paraId="0094772F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单选题</w:t>
            </w:r>
          </w:p>
        </w:tc>
        <w:tc>
          <w:tcPr>
            <w:tcW w:w="2130" w:type="dxa"/>
          </w:tcPr>
          <w:p w14:paraId="11D47084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2131" w:type="dxa"/>
          </w:tcPr>
          <w:p w14:paraId="5911597C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131" w:type="dxa"/>
          </w:tcPr>
          <w:p w14:paraId="7D201D9E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</w:tr>
      <w:tr w:rsidR="00A27F25" w14:paraId="543C3433" w14:textId="77777777">
        <w:tc>
          <w:tcPr>
            <w:tcW w:w="2130" w:type="dxa"/>
          </w:tcPr>
          <w:p w14:paraId="2B9531F6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判断题</w:t>
            </w:r>
          </w:p>
        </w:tc>
        <w:tc>
          <w:tcPr>
            <w:tcW w:w="2130" w:type="dxa"/>
          </w:tcPr>
          <w:p w14:paraId="55C0D8C5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2131" w:type="dxa"/>
          </w:tcPr>
          <w:p w14:paraId="38B09D80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131" w:type="dxa"/>
          </w:tcPr>
          <w:p w14:paraId="47DC2C66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</w:tr>
      <w:tr w:rsidR="00A27F25" w14:paraId="4D9732FF" w14:textId="77777777">
        <w:tc>
          <w:tcPr>
            <w:tcW w:w="2130" w:type="dxa"/>
          </w:tcPr>
          <w:p w14:paraId="16CA0D05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填空题</w:t>
            </w:r>
          </w:p>
        </w:tc>
        <w:tc>
          <w:tcPr>
            <w:tcW w:w="2130" w:type="dxa"/>
          </w:tcPr>
          <w:p w14:paraId="343DCD7B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2131" w:type="dxa"/>
          </w:tcPr>
          <w:p w14:paraId="172E914B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131" w:type="dxa"/>
          </w:tcPr>
          <w:p w14:paraId="06D2612B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</w:tr>
      <w:tr w:rsidR="00A27F25" w14:paraId="590E79AD" w14:textId="77777777">
        <w:tc>
          <w:tcPr>
            <w:tcW w:w="2130" w:type="dxa"/>
          </w:tcPr>
          <w:p w14:paraId="4B12F6DE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连线题</w:t>
            </w:r>
          </w:p>
        </w:tc>
        <w:tc>
          <w:tcPr>
            <w:tcW w:w="2130" w:type="dxa"/>
          </w:tcPr>
          <w:p w14:paraId="411920BC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2131" w:type="dxa"/>
          </w:tcPr>
          <w:p w14:paraId="01B41697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131" w:type="dxa"/>
          </w:tcPr>
          <w:p w14:paraId="6D8FABFE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 w:rsidR="00A27F25" w14:paraId="27C5A77B" w14:textId="77777777">
        <w:tc>
          <w:tcPr>
            <w:tcW w:w="2130" w:type="dxa"/>
          </w:tcPr>
          <w:p w14:paraId="2B82116A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案例题</w:t>
            </w:r>
          </w:p>
        </w:tc>
        <w:tc>
          <w:tcPr>
            <w:tcW w:w="2130" w:type="dxa"/>
          </w:tcPr>
          <w:p w14:paraId="301A5C7F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131" w:type="dxa"/>
          </w:tcPr>
          <w:p w14:paraId="017C690C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2131" w:type="dxa"/>
          </w:tcPr>
          <w:p w14:paraId="290EBCB6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 w:rsidR="00A27F25" w14:paraId="21C26EB3" w14:textId="77777777">
        <w:tc>
          <w:tcPr>
            <w:tcW w:w="6391" w:type="dxa"/>
            <w:gridSpan w:val="3"/>
          </w:tcPr>
          <w:p w14:paraId="50E35093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计</w:t>
            </w:r>
          </w:p>
        </w:tc>
        <w:tc>
          <w:tcPr>
            <w:tcW w:w="2131" w:type="dxa"/>
          </w:tcPr>
          <w:p w14:paraId="51AC8A48" w14:textId="77777777" w:rsidR="00A27F25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分</w:t>
            </w:r>
          </w:p>
        </w:tc>
      </w:tr>
    </w:tbl>
    <w:p w14:paraId="47F5EC44" w14:textId="77777777" w:rsidR="00A27F25" w:rsidRDefault="00000000">
      <w:pPr>
        <w:adjustRightInd w:val="0"/>
        <w:snapToGrid w:val="0"/>
        <w:spacing w:beforeLines="50" w:before="156" w:line="360" w:lineRule="auto"/>
        <w:ind w:firstLineChars="200" w:firstLine="560"/>
        <w:rPr>
          <w:rFonts w:ascii="黑体" w:eastAsia="黑体" w:hAnsi="黑体" w:hint="eastAsia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四、参考教材</w:t>
      </w:r>
    </w:p>
    <w:p w14:paraId="2ACF39F2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《市场调研》（第二版）高等教育出版社，于丽娟主编</w:t>
      </w:r>
    </w:p>
    <w:p w14:paraId="2ECFEA58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《营销策划与执行》（第二版）高等教育出版社，于丽娟主编</w:t>
      </w:r>
    </w:p>
    <w:p w14:paraId="189877E2" w14:textId="77777777" w:rsidR="00A27F25" w:rsidRDefault="00000000">
      <w:pPr>
        <w:widowControl/>
        <w:ind w:firstLineChars="200" w:firstLine="560"/>
        <w:rPr>
          <w:rFonts w:ascii="黑体" w:eastAsia="黑体" w:hAnsi="黑体" w:hint="eastAsia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五、考试内容与要求</w:t>
      </w:r>
    </w:p>
    <w:p w14:paraId="6810B316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（一）本考纲在考试内容和具体要求中，提出了三个认知能力层次的要求，即了解、理解、掌握。</w:t>
      </w:r>
    </w:p>
    <w:p w14:paraId="046EBA69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（二）考试内容</w:t>
      </w:r>
    </w:p>
    <w:p w14:paraId="6C2499C1" w14:textId="77777777" w:rsidR="00A27F25" w:rsidRDefault="00000000">
      <w:pPr>
        <w:adjustRightInd w:val="0"/>
        <w:snapToGrid w:val="0"/>
        <w:spacing w:line="360" w:lineRule="auto"/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《市场调研》</w:t>
      </w:r>
    </w:p>
    <w:p w14:paraId="27D0E672" w14:textId="77777777" w:rsidR="00A27F25" w:rsidRDefault="00000000">
      <w:pPr>
        <w:adjustRightInd w:val="0"/>
        <w:snapToGrid w:val="0"/>
        <w:spacing w:line="360" w:lineRule="auto"/>
        <w:ind w:firstLine="562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项目一 商业环境调研</w:t>
      </w:r>
    </w:p>
    <w:p w14:paraId="41E090F0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1.理解商圈的含义及商圈分析的意义</w:t>
      </w:r>
    </w:p>
    <w:p w14:paraId="41A2A865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2.了解二手资料的概念与作用</w:t>
      </w:r>
    </w:p>
    <w:p w14:paraId="1B96E438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3.了解二手资料的来源和途径</w:t>
      </w:r>
    </w:p>
    <w:p w14:paraId="2EFB59D0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4.了解二手资料的收集标准和收集方法</w:t>
      </w:r>
    </w:p>
    <w:p w14:paraId="2E2AFE2D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5.理解二手资料评价的标准</w:t>
      </w:r>
    </w:p>
    <w:p w14:paraId="0CAF3C0C" w14:textId="77777777" w:rsidR="00A27F25" w:rsidRDefault="00A27F25">
      <w:pPr>
        <w:adjustRightInd w:val="0"/>
        <w:snapToGrid w:val="0"/>
        <w:spacing w:line="360" w:lineRule="auto"/>
        <w:ind w:firstLine="562"/>
        <w:rPr>
          <w:rFonts w:ascii="宋体" w:hAnsi="宋体" w:hint="eastAsia"/>
          <w:b/>
          <w:sz w:val="28"/>
          <w:szCs w:val="28"/>
        </w:rPr>
      </w:pPr>
    </w:p>
    <w:p w14:paraId="6C13FA00" w14:textId="77777777" w:rsidR="00A27F25" w:rsidRDefault="00000000">
      <w:pPr>
        <w:adjustRightInd w:val="0"/>
        <w:snapToGrid w:val="0"/>
        <w:spacing w:line="360" w:lineRule="auto"/>
        <w:ind w:firstLine="562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项目二 市场需求调研</w:t>
      </w:r>
    </w:p>
    <w:p w14:paraId="33B725C0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 xml:space="preserve">1.理解市场需求调研 </w:t>
      </w:r>
    </w:p>
    <w:p w14:paraId="287FF7D5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 xml:space="preserve">2.了解在线问卷调查法 </w:t>
      </w:r>
    </w:p>
    <w:p w14:paraId="278F3DF3" w14:textId="77777777" w:rsidR="00A27F25" w:rsidRDefault="00000000">
      <w:pPr>
        <w:adjustRightInd w:val="0"/>
        <w:snapToGrid w:val="0"/>
        <w:spacing w:line="360" w:lineRule="auto"/>
        <w:ind w:firstLine="562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项目三 品牌形象调研</w:t>
      </w:r>
    </w:p>
    <w:p w14:paraId="3B30B2D3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1.理解品牌调研的目的</w:t>
      </w:r>
    </w:p>
    <w:p w14:paraId="40C46E71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2.掌握品牌调研的内容</w:t>
      </w:r>
    </w:p>
    <w:p w14:paraId="2A7BE281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3.了解街头拦截访谈调研</w:t>
      </w:r>
    </w:p>
    <w:p w14:paraId="5ED69A7C" w14:textId="77777777" w:rsidR="00A27F25" w:rsidRDefault="00000000">
      <w:pPr>
        <w:adjustRightInd w:val="0"/>
        <w:snapToGrid w:val="0"/>
        <w:spacing w:line="360" w:lineRule="auto"/>
        <w:ind w:firstLine="562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项目四 消费者使用情况调研</w:t>
      </w:r>
    </w:p>
    <w:p w14:paraId="2D73C693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1.理解抽样调研</w:t>
      </w:r>
    </w:p>
    <w:p w14:paraId="0FE3FC01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2.了解抽样调研中常用的名词</w:t>
      </w:r>
    </w:p>
    <w:p w14:paraId="4C72DCD4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3.了解抽样调研的分类</w:t>
      </w:r>
    </w:p>
    <w:p w14:paraId="476E0758" w14:textId="77777777" w:rsidR="00A27F25" w:rsidRDefault="00000000">
      <w:pPr>
        <w:adjustRightInd w:val="0"/>
        <w:snapToGrid w:val="0"/>
        <w:spacing w:line="360" w:lineRule="auto"/>
        <w:ind w:firstLine="562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项目五 市场渠道调研</w:t>
      </w:r>
    </w:p>
    <w:p w14:paraId="2A1D6383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1.了解市场营销渠道的概念和类型</w:t>
      </w:r>
    </w:p>
    <w:p w14:paraId="25FE233B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2.理解访谈调研方式的类型</w:t>
      </w:r>
    </w:p>
    <w:p w14:paraId="06987DD5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3.理解访谈调研的特点</w:t>
      </w:r>
    </w:p>
    <w:p w14:paraId="0319B4C3" w14:textId="77777777" w:rsidR="00A27F25" w:rsidRDefault="00000000">
      <w:pPr>
        <w:adjustRightInd w:val="0"/>
        <w:snapToGrid w:val="0"/>
        <w:spacing w:line="360" w:lineRule="auto"/>
        <w:ind w:firstLine="562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项目六 竞争者调研</w:t>
      </w:r>
    </w:p>
    <w:p w14:paraId="20A6FEE8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 xml:space="preserve">1.了解竞争者调研 </w:t>
      </w:r>
    </w:p>
    <w:p w14:paraId="3CD96059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 xml:space="preserve">2.了解观察调研法 </w:t>
      </w:r>
    </w:p>
    <w:p w14:paraId="4B7D219D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3.了解竞争者调研报告主要内容</w:t>
      </w:r>
    </w:p>
    <w:p w14:paraId="14EC9F50" w14:textId="77777777" w:rsidR="00A27F25" w:rsidRDefault="00000000">
      <w:pPr>
        <w:adjustRightInd w:val="0"/>
        <w:snapToGrid w:val="0"/>
        <w:spacing w:line="360" w:lineRule="auto"/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《营销策划与执行》</w:t>
      </w:r>
    </w:p>
    <w:p w14:paraId="216377E2" w14:textId="77777777" w:rsidR="00A27F25" w:rsidRDefault="00000000">
      <w:pPr>
        <w:adjustRightInd w:val="0"/>
        <w:snapToGrid w:val="0"/>
        <w:spacing w:line="360" w:lineRule="auto"/>
        <w:ind w:firstLine="562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项目三 品牌定位策划</w:t>
      </w:r>
    </w:p>
    <w:p w14:paraId="0485103F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1.了解品牌的概念和内涵</w:t>
      </w:r>
    </w:p>
    <w:p w14:paraId="03FE23EE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2.理解品牌策略</w:t>
      </w:r>
    </w:p>
    <w:p w14:paraId="53E6586F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3.掌握根据产品特性选择合适的品牌策略</w:t>
      </w:r>
    </w:p>
    <w:p w14:paraId="36D81819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4.理解市场定位的概念和定位策略</w:t>
      </w:r>
    </w:p>
    <w:p w14:paraId="4B09AA1F" w14:textId="77777777" w:rsidR="00A27F25" w:rsidRDefault="00000000">
      <w:pPr>
        <w:adjustRightInd w:val="0"/>
        <w:snapToGrid w:val="0"/>
        <w:spacing w:line="360" w:lineRule="auto"/>
        <w:ind w:firstLine="562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项目四 广告运作策划</w:t>
      </w:r>
    </w:p>
    <w:p w14:paraId="1C22F39A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1.了解广告活动策划的含义及要素</w:t>
      </w:r>
    </w:p>
    <w:p w14:paraId="377ABB92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2.理解广告媒体的种类及特点</w:t>
      </w:r>
    </w:p>
    <w:p w14:paraId="53FE195A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3.理解媒体选择原则</w:t>
      </w:r>
    </w:p>
    <w:p w14:paraId="30536A08" w14:textId="77777777" w:rsidR="00A27F25" w:rsidRDefault="00000000">
      <w:pPr>
        <w:adjustRightInd w:val="0"/>
        <w:snapToGrid w:val="0"/>
        <w:spacing w:line="360" w:lineRule="auto"/>
        <w:ind w:firstLine="562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项目六 营业推广策划</w:t>
      </w:r>
    </w:p>
    <w:p w14:paraId="6FBA422A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1.了解营业推广及其特点</w:t>
      </w:r>
    </w:p>
    <w:p w14:paraId="6CC4A258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2.理解营业推广的方式</w:t>
      </w:r>
    </w:p>
    <w:p w14:paraId="53E4BFF5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3.掌握营业推广方式的选择</w:t>
      </w:r>
    </w:p>
    <w:p w14:paraId="77135E6D" w14:textId="77777777" w:rsidR="00A27F25" w:rsidRDefault="00000000">
      <w:pPr>
        <w:adjustRightInd w:val="0"/>
        <w:snapToGrid w:val="0"/>
        <w:spacing w:line="360" w:lineRule="auto"/>
        <w:ind w:firstLine="562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项目七 公关活动策划</w:t>
      </w:r>
    </w:p>
    <w:p w14:paraId="0E10C03A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1.了解公关活动的含义与内容</w:t>
      </w:r>
    </w:p>
    <w:p w14:paraId="54839774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2.了解公关活动的形式</w:t>
      </w:r>
    </w:p>
    <w:p w14:paraId="52CAAEAB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3.理解公关主题活动策划的基本原则</w:t>
      </w:r>
    </w:p>
    <w:p w14:paraId="4845A50B" w14:textId="77777777" w:rsidR="00A27F25" w:rsidRDefault="00000000">
      <w:pPr>
        <w:adjustRightInd w:val="0"/>
        <w:snapToGrid w:val="0"/>
        <w:spacing w:line="360" w:lineRule="auto"/>
        <w:ind w:firstLine="562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项目八 联合推广策划</w:t>
      </w:r>
    </w:p>
    <w:p w14:paraId="75BACA3A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1.了解联合推广的内涵</w:t>
      </w:r>
    </w:p>
    <w:p w14:paraId="7965D7B2" w14:textId="77777777" w:rsidR="00A27F25" w:rsidRDefault="00000000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2.理解联合推广的分类及原则</w:t>
      </w:r>
    </w:p>
    <w:p w14:paraId="158333BE" w14:textId="77777777" w:rsidR="00A27F25" w:rsidRDefault="00A27F25">
      <w:pPr>
        <w:rPr>
          <w:rFonts w:ascii="黑体" w:eastAsia="黑体" w:hAnsi="黑体" w:cs="黑体" w:hint="eastAsia"/>
          <w:b/>
          <w:bCs/>
          <w:spacing w:val="7"/>
          <w:kern w:val="0"/>
          <w:sz w:val="44"/>
          <w:szCs w:val="44"/>
          <w:lang w:bidi="he-IL"/>
        </w:rPr>
      </w:pPr>
    </w:p>
    <w:p w14:paraId="393D58DC" w14:textId="77777777" w:rsidR="00A27F25" w:rsidRDefault="00A27F25">
      <w:pPr>
        <w:rPr>
          <w:rFonts w:ascii="黑体" w:eastAsia="黑体" w:hAnsi="黑体" w:cs="黑体" w:hint="eastAsia"/>
          <w:b/>
          <w:bCs/>
          <w:spacing w:val="7"/>
          <w:kern w:val="0"/>
          <w:sz w:val="44"/>
          <w:szCs w:val="44"/>
          <w:lang w:bidi="he-IL"/>
        </w:rPr>
      </w:pPr>
    </w:p>
    <w:p w14:paraId="629B1657" w14:textId="77777777" w:rsidR="00A27F25" w:rsidRDefault="00A27F25">
      <w:pPr>
        <w:rPr>
          <w:rFonts w:ascii="黑体" w:eastAsia="黑体" w:hAnsi="黑体" w:cs="黑体" w:hint="eastAsia"/>
          <w:b/>
          <w:bCs/>
          <w:spacing w:val="7"/>
          <w:kern w:val="0"/>
          <w:sz w:val="44"/>
          <w:szCs w:val="44"/>
          <w:lang w:bidi="he-IL"/>
        </w:rPr>
      </w:pPr>
    </w:p>
    <w:p w14:paraId="1F864C2F" w14:textId="77777777" w:rsidR="00A27F25" w:rsidRDefault="00A27F25">
      <w:pPr>
        <w:adjustRightInd w:val="0"/>
        <w:snapToGrid w:val="0"/>
        <w:spacing w:line="360" w:lineRule="auto"/>
        <w:ind w:firstLineChars="200" w:firstLine="560"/>
        <w:jc w:val="right"/>
        <w:rPr>
          <w:rFonts w:ascii="宋体" w:hAnsi="宋体" w:hint="eastAsia"/>
          <w:bCs/>
          <w:sz w:val="28"/>
          <w:szCs w:val="28"/>
        </w:rPr>
      </w:pPr>
    </w:p>
    <w:sectPr w:rsidR="00A27F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BBE0B47"/>
    <w:rsid w:val="008A1037"/>
    <w:rsid w:val="00A27F25"/>
    <w:rsid w:val="00B9424D"/>
    <w:rsid w:val="723633E0"/>
    <w:rsid w:val="7BB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4C920C4-105A-4012-8E51-49CCB02D6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Beryl</dc:creator>
  <cp:lastModifiedBy>hf shan</cp:lastModifiedBy>
  <cp:revision>3</cp:revision>
  <dcterms:created xsi:type="dcterms:W3CDTF">2025-03-31T02:45:00Z</dcterms:created>
  <dcterms:modified xsi:type="dcterms:W3CDTF">2025-06-01T14:44:00Z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2C88FBC7BC66455CBD238B82C8DB0864_11</vt:lpwstr>
  </property>
  <property fmtid="{D5CDD505-2E9C-101B-9397-08002B2CF9AE}" pid="4" name="KSOTemplateDocerSaveRecord">
    <vt:lpwstr>eyJoZGlkIjoiOWM1NGY1ZWNjOWRiMDQyN2I2ODI4ODEwMDNhOGJmZjAiLCJ1c2VySWQiOiI0NTU1NTg4NDYifQ==</vt:lpwstr>
  </property>
</Properties>
</file>